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2035"/>
        <w:gridCol w:w="7027"/>
      </w:tblGrid>
      <w:tr w:rsidR="00412A9B" w14:paraId="2B20631B" w14:textId="77777777" w:rsidTr="009E0980">
        <w:tc>
          <w:tcPr>
            <w:tcW w:w="9062" w:type="dxa"/>
            <w:gridSpan w:val="2"/>
          </w:tcPr>
          <w:p w14:paraId="08EA99F1" w14:textId="77777777" w:rsidR="00412A9B" w:rsidRDefault="00412A9B" w:rsidP="00412A9B">
            <w:bookmarkStart w:id="0" w:name="_GoBack"/>
            <w:bookmarkEnd w:id="0"/>
            <w:r w:rsidRPr="00412A9B">
              <w:rPr>
                <w:b/>
                <w:sz w:val="40"/>
                <w:szCs w:val="40"/>
              </w:rPr>
              <w:t xml:space="preserve">Kunstkuurprojecten: </w:t>
            </w:r>
            <w:r w:rsidRPr="00412A9B">
              <w:rPr>
                <w:sz w:val="40"/>
                <w:szCs w:val="40"/>
              </w:rPr>
              <w:t>Aanstellingen personeelsleden</w:t>
            </w:r>
          </w:p>
        </w:tc>
      </w:tr>
      <w:tr w:rsidR="00412A9B" w14:paraId="48B39C06" w14:textId="77777777" w:rsidTr="00412A9B">
        <w:tc>
          <w:tcPr>
            <w:tcW w:w="2035" w:type="dxa"/>
          </w:tcPr>
          <w:p w14:paraId="1486D143" w14:textId="77777777" w:rsidR="00412A9B" w:rsidRPr="00412A9B" w:rsidRDefault="00412A9B">
            <w:pPr>
              <w:rPr>
                <w:b/>
              </w:rPr>
            </w:pPr>
            <w:r>
              <w:rPr>
                <w:b/>
              </w:rPr>
              <w:t>Contact</w:t>
            </w:r>
          </w:p>
        </w:tc>
        <w:tc>
          <w:tcPr>
            <w:tcW w:w="7027" w:type="dxa"/>
          </w:tcPr>
          <w:p w14:paraId="1316B1A3" w14:textId="77777777" w:rsidR="00412A9B" w:rsidRDefault="00412A9B">
            <w:r>
              <w:t xml:space="preserve">Elektronische zendingen: </w:t>
            </w:r>
            <w:r>
              <w:br/>
              <w:t>de dossierbeheerder van uw werkstation</w:t>
            </w:r>
          </w:p>
          <w:p w14:paraId="68A979D4" w14:textId="57C86AE5" w:rsidR="00412A9B" w:rsidRDefault="00412A9B">
            <w:r>
              <w:t xml:space="preserve">Principes: </w:t>
            </w:r>
            <w:r>
              <w:br/>
              <w:t xml:space="preserve">Mieke Quintens, tel: 02/553.92.80, </w:t>
            </w:r>
            <w:hyperlink r:id="rId9" w:history="1">
              <w:r w:rsidR="005E43EA" w:rsidRPr="008E3F89">
                <w:rPr>
                  <w:rStyle w:val="Hyperlink"/>
                </w:rPr>
                <w:t>mieke.quintens@ond.vlaanderen.be</w:t>
              </w:r>
            </w:hyperlink>
            <w:r w:rsidR="005E43EA">
              <w:t xml:space="preserve"> </w:t>
            </w:r>
          </w:p>
        </w:tc>
      </w:tr>
      <w:tr w:rsidR="00AD2CBA" w14:paraId="7EC8D4B5" w14:textId="77777777" w:rsidTr="00412A9B">
        <w:tc>
          <w:tcPr>
            <w:tcW w:w="2035" w:type="dxa"/>
          </w:tcPr>
          <w:p w14:paraId="2D755C23" w14:textId="77777777" w:rsidR="00AD2CBA" w:rsidRPr="00412A9B" w:rsidRDefault="00AD2CBA">
            <w:pPr>
              <w:rPr>
                <w:b/>
              </w:rPr>
            </w:pPr>
            <w:r w:rsidRPr="00412A9B">
              <w:rPr>
                <w:b/>
              </w:rPr>
              <w:t xml:space="preserve">Tijdelijke </w:t>
            </w:r>
          </w:p>
          <w:p w14:paraId="0A5C68E9" w14:textId="77777777" w:rsidR="00AD2CBA" w:rsidRDefault="00AD2CBA">
            <w:r w:rsidRPr="00412A9B">
              <w:rPr>
                <w:b/>
              </w:rPr>
              <w:t>aanstelling</w:t>
            </w:r>
          </w:p>
        </w:tc>
        <w:tc>
          <w:tcPr>
            <w:tcW w:w="7027" w:type="dxa"/>
          </w:tcPr>
          <w:p w14:paraId="16315CFB" w14:textId="77777777" w:rsidR="00AD2CBA" w:rsidRDefault="00AD2CBA">
            <w:r>
              <w:t xml:space="preserve">De aanstelling is altijd als tijdelijk personeelslid. </w:t>
            </w:r>
            <w:r>
              <w:br/>
              <w:t>Vast benoemde personeelsleden kunnen een verlof tijdelijk andere opdracht nemen om in het kunstkuurproject te presteren of kunnen dit als bijkomende tijdelijke opdracht uitoefenen. De cumulatieregelgeving geldt ook voor de prestaties in de kunstkuurprojecten</w:t>
            </w:r>
          </w:p>
        </w:tc>
      </w:tr>
      <w:tr w:rsidR="00AD2CBA" w14:paraId="65B5AAE1" w14:textId="77777777" w:rsidTr="00412A9B">
        <w:tc>
          <w:tcPr>
            <w:tcW w:w="2035" w:type="dxa"/>
          </w:tcPr>
          <w:p w14:paraId="7995278D" w14:textId="77777777" w:rsidR="00AD2CBA" w:rsidRPr="00412A9B" w:rsidRDefault="00AD2CBA">
            <w:pPr>
              <w:rPr>
                <w:b/>
              </w:rPr>
            </w:pPr>
            <w:r w:rsidRPr="00412A9B">
              <w:rPr>
                <w:b/>
              </w:rPr>
              <w:t>TADD</w:t>
            </w:r>
          </w:p>
        </w:tc>
        <w:tc>
          <w:tcPr>
            <w:tcW w:w="7027" w:type="dxa"/>
          </w:tcPr>
          <w:p w14:paraId="6A1B398A" w14:textId="498A3B86" w:rsidR="00AD2CBA" w:rsidRDefault="00AD2CBA">
            <w:r>
              <w:t xml:space="preserve">Het schoolbestuur is vrij om te beslissen of ze een personeelslid met TADD-recht aanstellen in het kunstkuurproject. TADD-gerechtigde personeelsleden kunnen de aanstelling </w:t>
            </w:r>
            <w:r w:rsidR="005E43EA">
              <w:t xml:space="preserve">echter </w:t>
            </w:r>
            <w:r>
              <w:t>niet opeisen.</w:t>
            </w:r>
          </w:p>
          <w:p w14:paraId="61006DE8" w14:textId="30D017EF" w:rsidR="009C12C2" w:rsidRDefault="00AD2CBA">
            <w:r>
              <w:t xml:space="preserve">De dienstanciënniteit verworven in het </w:t>
            </w:r>
            <w:proofErr w:type="spellStart"/>
            <w:r>
              <w:t>gelijkstellingsvak</w:t>
            </w:r>
            <w:proofErr w:type="spellEnd"/>
            <w:r>
              <w:t xml:space="preserve"> telt mee voor het opbouwen van de dienstanciënniteit voor het verwerven van het recht op TADD</w:t>
            </w:r>
            <w:r w:rsidR="005E43EA">
              <w:t xml:space="preserve"> volgens de gangbare regels</w:t>
            </w:r>
            <w:r>
              <w:t xml:space="preserve">. </w:t>
            </w:r>
          </w:p>
          <w:p w14:paraId="317B63F0" w14:textId="61F36A50" w:rsidR="00AD2CBA" w:rsidRDefault="009C12C2">
            <w:r>
              <w:t>Indien u geen extra punten krijgt voor de aanstelling van personeelsleden in het Kunstkuurproject maar moet werken met PWB-middelen, dan zijn alle verplichtingen van de TADD-regelgeving volledig van toepassing.</w:t>
            </w:r>
          </w:p>
        </w:tc>
      </w:tr>
      <w:tr w:rsidR="00AD2CBA" w14:paraId="67302ADF" w14:textId="77777777" w:rsidTr="00412A9B">
        <w:tc>
          <w:tcPr>
            <w:tcW w:w="2035" w:type="dxa"/>
          </w:tcPr>
          <w:p w14:paraId="05695887" w14:textId="77777777" w:rsidR="00AD2CBA" w:rsidRPr="00412A9B" w:rsidRDefault="00AD2CBA">
            <w:pPr>
              <w:rPr>
                <w:b/>
              </w:rPr>
            </w:pPr>
            <w:r w:rsidRPr="00412A9B">
              <w:rPr>
                <w:b/>
              </w:rPr>
              <w:t>Vaste benoeming</w:t>
            </w:r>
          </w:p>
        </w:tc>
        <w:tc>
          <w:tcPr>
            <w:tcW w:w="7027" w:type="dxa"/>
          </w:tcPr>
          <w:p w14:paraId="3575DDE7" w14:textId="77777777" w:rsidR="00AD2CBA" w:rsidRDefault="00AD2CBA">
            <w:r>
              <w:t>De uren in het kunstkuurproject kunnen niet vacant verklaard worden.</w:t>
            </w:r>
          </w:p>
          <w:p w14:paraId="05CEBCDD" w14:textId="77777777" w:rsidR="00AD2CBA" w:rsidRDefault="00AD2CBA">
            <w:r>
              <w:t xml:space="preserve">Vaste benoeming is dan ook niet mogelijk,  net zomin als een affectatie of mutatie van een vast benoemd personeelslid. </w:t>
            </w:r>
          </w:p>
        </w:tc>
      </w:tr>
      <w:tr w:rsidR="00AD2CBA" w14:paraId="5E41FBE4" w14:textId="77777777" w:rsidTr="00412A9B">
        <w:tc>
          <w:tcPr>
            <w:tcW w:w="2035" w:type="dxa"/>
          </w:tcPr>
          <w:p w14:paraId="3DE99CE1" w14:textId="77777777" w:rsidR="00AD2CBA" w:rsidRPr="00412A9B" w:rsidRDefault="00AD2CBA">
            <w:pPr>
              <w:rPr>
                <w:b/>
              </w:rPr>
            </w:pPr>
            <w:r w:rsidRPr="00412A9B">
              <w:rPr>
                <w:b/>
              </w:rPr>
              <w:t>TBSOB</w:t>
            </w:r>
          </w:p>
        </w:tc>
        <w:tc>
          <w:tcPr>
            <w:tcW w:w="7027" w:type="dxa"/>
          </w:tcPr>
          <w:p w14:paraId="463444D8" w14:textId="6C79891B" w:rsidR="00AD2CBA" w:rsidRDefault="00AD2CBA">
            <w:r>
              <w:t xml:space="preserve">De </w:t>
            </w:r>
            <w:r w:rsidR="00912CB6">
              <w:t xml:space="preserve">verplichtingen vanuit de </w:t>
            </w:r>
            <w:r>
              <w:t xml:space="preserve">regelgeving over TBSOB </w:t>
            </w:r>
            <w:r w:rsidR="00912CB6">
              <w:t>zijn</w:t>
            </w:r>
            <w:r>
              <w:t xml:space="preserve"> niet van toepassing</w:t>
            </w:r>
            <w:r w:rsidR="00912CB6">
              <w:t>.</w:t>
            </w:r>
            <w:r w:rsidR="00912CB6">
              <w:br/>
              <w:t xml:space="preserve">Het schoolbestuur kan een personeelslid dat ter beschikking gesteld is wegens ontstentenis van betrekking op vrijwillige basis reaffecteren of weder te werk stellen. </w:t>
            </w:r>
            <w:r w:rsidR="007A63A2">
              <w:br/>
              <w:t xml:space="preserve">Indien u geen extra punten krijgt voor de aanstelling van personeelsleden in het Kunstkuurproject, maar moet werken met PWB-middelen, dan zijn alle verplichtingen van de TBSOB-regelgeving volledig van toepassing. </w:t>
            </w:r>
          </w:p>
        </w:tc>
      </w:tr>
      <w:tr w:rsidR="00912CB6" w14:paraId="09B61AAF" w14:textId="77777777" w:rsidTr="00412A9B">
        <w:tc>
          <w:tcPr>
            <w:tcW w:w="2035" w:type="dxa"/>
          </w:tcPr>
          <w:p w14:paraId="24694979" w14:textId="77777777" w:rsidR="00912CB6" w:rsidRPr="00412A9B" w:rsidRDefault="00912CB6">
            <w:pPr>
              <w:rPr>
                <w:b/>
              </w:rPr>
            </w:pPr>
            <w:r w:rsidRPr="00412A9B">
              <w:rPr>
                <w:b/>
              </w:rPr>
              <w:t>Bekwaamheids-</w:t>
            </w:r>
          </w:p>
          <w:p w14:paraId="76347328" w14:textId="77777777" w:rsidR="00912CB6" w:rsidRPr="00412A9B" w:rsidRDefault="00912CB6">
            <w:pPr>
              <w:rPr>
                <w:b/>
              </w:rPr>
            </w:pPr>
            <w:r w:rsidRPr="00412A9B">
              <w:rPr>
                <w:b/>
              </w:rPr>
              <w:t>bewijzen</w:t>
            </w:r>
          </w:p>
        </w:tc>
        <w:tc>
          <w:tcPr>
            <w:tcW w:w="7027" w:type="dxa"/>
          </w:tcPr>
          <w:p w14:paraId="5532BB51" w14:textId="77777777" w:rsidR="00912CB6" w:rsidRDefault="00912CB6">
            <w:r>
              <w:t xml:space="preserve">Op basis van het </w:t>
            </w:r>
            <w:proofErr w:type="spellStart"/>
            <w:r>
              <w:t>gelijkstellingsvak</w:t>
            </w:r>
            <w:proofErr w:type="spellEnd"/>
            <w:r>
              <w:t xml:space="preserve"> wordt vastgesteld welk bekwaamheidsbewijs en salarisschaal het personeelslid heeft voor dit vak.</w:t>
            </w:r>
          </w:p>
          <w:p w14:paraId="164900F3" w14:textId="77777777" w:rsidR="00912CB6" w:rsidRDefault="00912CB6">
            <w:r>
              <w:t xml:space="preserve">Van belang is om een </w:t>
            </w:r>
            <w:proofErr w:type="spellStart"/>
            <w:r>
              <w:t>gelijkstellingsvak</w:t>
            </w:r>
            <w:proofErr w:type="spellEnd"/>
            <w:r>
              <w:t xml:space="preserve"> te kiezen waarvan de salarisschaal overeenstemt met deze die vermeld is in uw aanvraagdossier. </w:t>
            </w:r>
          </w:p>
        </w:tc>
      </w:tr>
      <w:tr w:rsidR="00912CB6" w14:paraId="58D4C00E" w14:textId="77777777" w:rsidTr="00412A9B">
        <w:tc>
          <w:tcPr>
            <w:tcW w:w="2035" w:type="dxa"/>
          </w:tcPr>
          <w:p w14:paraId="2A2A6C17" w14:textId="77777777" w:rsidR="00912CB6" w:rsidRPr="00412A9B" w:rsidRDefault="00912CB6">
            <w:pPr>
              <w:rPr>
                <w:b/>
              </w:rPr>
            </w:pPr>
            <w:r w:rsidRPr="00412A9B">
              <w:rPr>
                <w:b/>
              </w:rPr>
              <w:t>Ambt</w:t>
            </w:r>
          </w:p>
        </w:tc>
        <w:tc>
          <w:tcPr>
            <w:tcW w:w="7027" w:type="dxa"/>
          </w:tcPr>
          <w:p w14:paraId="388170E4" w14:textId="77777777" w:rsidR="00912CB6" w:rsidRDefault="00912CB6">
            <w:r>
              <w:t>De aanstellingen zijn enkel mogelijk in het ambt van leraar.</w:t>
            </w:r>
          </w:p>
        </w:tc>
      </w:tr>
      <w:tr w:rsidR="00912CB6" w14:paraId="21BAF9D6" w14:textId="77777777" w:rsidTr="00412A9B">
        <w:tc>
          <w:tcPr>
            <w:tcW w:w="2035" w:type="dxa"/>
          </w:tcPr>
          <w:p w14:paraId="74D8C222" w14:textId="77777777" w:rsidR="00912CB6" w:rsidRPr="00412A9B" w:rsidRDefault="00912CB6">
            <w:pPr>
              <w:rPr>
                <w:b/>
              </w:rPr>
            </w:pPr>
            <w:r w:rsidRPr="00412A9B">
              <w:rPr>
                <w:b/>
              </w:rPr>
              <w:t>Vakken</w:t>
            </w:r>
          </w:p>
        </w:tc>
        <w:tc>
          <w:tcPr>
            <w:tcW w:w="7027" w:type="dxa"/>
          </w:tcPr>
          <w:p w14:paraId="3A9C8584" w14:textId="77777777" w:rsidR="00912CB6" w:rsidRDefault="00912CB6">
            <w:r>
              <w:t xml:space="preserve">De aanstelling gebeurt in het vak met de </w:t>
            </w:r>
            <w:proofErr w:type="spellStart"/>
            <w:r>
              <w:t>vakcode</w:t>
            </w:r>
            <w:proofErr w:type="spellEnd"/>
            <w:r>
              <w:t xml:space="preserve"> 698 voor ‘tijdelijk project- DKO’. Dit vak stelt u gelijk met één van de bestaande vakken in het deeltijds kunstonderwijs. Op basis van dit </w:t>
            </w:r>
            <w:proofErr w:type="spellStart"/>
            <w:r>
              <w:t>gelijkstellingsvak</w:t>
            </w:r>
            <w:proofErr w:type="spellEnd"/>
            <w:r>
              <w:t xml:space="preserve"> zal het personeelslid betaald worden.  </w:t>
            </w:r>
          </w:p>
        </w:tc>
      </w:tr>
      <w:tr w:rsidR="00912CB6" w14:paraId="08481FE4" w14:textId="77777777" w:rsidTr="00412A9B">
        <w:tc>
          <w:tcPr>
            <w:tcW w:w="2035" w:type="dxa"/>
          </w:tcPr>
          <w:p w14:paraId="1D0F5B44" w14:textId="77777777" w:rsidR="00912CB6" w:rsidRPr="00412A9B" w:rsidRDefault="00F64BD0">
            <w:pPr>
              <w:rPr>
                <w:b/>
              </w:rPr>
            </w:pPr>
            <w:r w:rsidRPr="00412A9B">
              <w:rPr>
                <w:b/>
              </w:rPr>
              <w:t>Schooljaarbasis</w:t>
            </w:r>
          </w:p>
        </w:tc>
        <w:tc>
          <w:tcPr>
            <w:tcW w:w="7027" w:type="dxa"/>
          </w:tcPr>
          <w:p w14:paraId="712CEEFB" w14:textId="77777777" w:rsidR="00912CB6" w:rsidRDefault="00F64BD0">
            <w:r>
              <w:t>De leraar wordt op schooljaarbasis aangesteld. De aanstelling spreidt u dus uit over een aanstelling die loopt vanaf 1 september tot 30 juni. Voor de verdeling van de toegekende uren over het volledig schooljaar, gaat u uit van een schooljaar dat 40 weken telt.</w:t>
            </w:r>
          </w:p>
          <w:p w14:paraId="63D904A0" w14:textId="77777777" w:rsidR="00F64BD0" w:rsidRDefault="00F64BD0">
            <w:r w:rsidRPr="00F64BD0">
              <w:rPr>
                <w:u w:val="single"/>
              </w:rPr>
              <w:t>Voorbeeld</w:t>
            </w:r>
            <w:r>
              <w:t>:</w:t>
            </w:r>
          </w:p>
          <w:p w14:paraId="17934844" w14:textId="77777777" w:rsidR="00F64BD0" w:rsidRDefault="00F64BD0">
            <w:r>
              <w:t xml:space="preserve">Voor een pakket van 280 lestijden, kan u een leraar van 1 september tot 30 juni voor 7 lestijden per week aanstelling. </w:t>
            </w:r>
          </w:p>
        </w:tc>
      </w:tr>
      <w:tr w:rsidR="00F64BD0" w14:paraId="72F9015B" w14:textId="77777777" w:rsidTr="00412A9B">
        <w:tc>
          <w:tcPr>
            <w:tcW w:w="2035" w:type="dxa"/>
          </w:tcPr>
          <w:p w14:paraId="51FC105F" w14:textId="77777777" w:rsidR="00F64BD0" w:rsidRPr="00412A9B" w:rsidRDefault="00F64BD0">
            <w:pPr>
              <w:rPr>
                <w:b/>
              </w:rPr>
            </w:pPr>
            <w:r w:rsidRPr="00412A9B">
              <w:rPr>
                <w:b/>
              </w:rPr>
              <w:t>Voorbeeld RL-1</w:t>
            </w:r>
          </w:p>
        </w:tc>
        <w:tc>
          <w:tcPr>
            <w:tcW w:w="7027" w:type="dxa"/>
          </w:tcPr>
          <w:p w14:paraId="4E0CDC3C" w14:textId="77777777" w:rsidR="00F64BD0" w:rsidRDefault="00F64BD0">
            <w:r>
              <w:t>Een leraar is aangesteld voor 3/22 in het kunstkuurproject. Op basis van deze aanstelling geeft dit personeelslid ‘</w:t>
            </w:r>
            <w:proofErr w:type="spellStart"/>
            <w:r>
              <w:t>domeinoverschrijdende</w:t>
            </w:r>
            <w:proofErr w:type="spellEnd"/>
            <w:r>
              <w:t xml:space="preserve"> initiatie</w:t>
            </w:r>
            <w:r w:rsidR="006B4BAD">
              <w:t xml:space="preserve"> MWD</w:t>
            </w:r>
            <w:r>
              <w:t>’.</w:t>
            </w:r>
          </w:p>
          <w:p w14:paraId="5E69CDD3" w14:textId="77777777" w:rsidR="00F64BD0" w:rsidRDefault="00F64BD0">
            <w:r>
              <w:lastRenderedPageBreak/>
              <w:t xml:space="preserve">In de RL-1 vult u altijd de </w:t>
            </w:r>
            <w:proofErr w:type="spellStart"/>
            <w:r>
              <w:t>vakcode</w:t>
            </w:r>
            <w:proofErr w:type="spellEnd"/>
            <w:r>
              <w:t xml:space="preserve"> voor tijdelijk project DKO in. Dit is </w:t>
            </w:r>
            <w:proofErr w:type="spellStart"/>
            <w:r>
              <w:t>vakcode</w:t>
            </w:r>
            <w:proofErr w:type="spellEnd"/>
            <w:r>
              <w:t xml:space="preserve"> 698. Daarnaast vult u het </w:t>
            </w:r>
            <w:proofErr w:type="spellStart"/>
            <w:r>
              <w:t>gelijkstellingsvak</w:t>
            </w:r>
            <w:proofErr w:type="spellEnd"/>
            <w:r>
              <w:t xml:space="preserve"> in. Het personeelslid moet een vereist, voldoende geacht of ander bekwaamheidsbewijs hebben voor het </w:t>
            </w:r>
            <w:proofErr w:type="spellStart"/>
            <w:r>
              <w:t>aanstellingsvak</w:t>
            </w:r>
            <w:proofErr w:type="spellEnd"/>
            <w:r>
              <w:t xml:space="preserve">. </w:t>
            </w:r>
          </w:p>
          <w:p w14:paraId="1C0A044D" w14:textId="77777777" w:rsidR="00F64BD0" w:rsidRDefault="00F64BD0"/>
          <w:p w14:paraId="4753BFFC" w14:textId="77777777" w:rsidR="00F64BD0" w:rsidRDefault="00F64BD0">
            <w:r>
              <w:t>RL-1: 3/22 ‘tijdelijk project DKO’ (</w:t>
            </w:r>
            <w:proofErr w:type="spellStart"/>
            <w:r>
              <w:t>vakcode</w:t>
            </w:r>
            <w:proofErr w:type="spellEnd"/>
            <w:r>
              <w:t xml:space="preserve"> 698) gelijkgesteld met ‘</w:t>
            </w:r>
            <w:proofErr w:type="spellStart"/>
            <w:r>
              <w:t>domeinoverschrijdende</w:t>
            </w:r>
            <w:proofErr w:type="spellEnd"/>
            <w:r>
              <w:t xml:space="preserve"> initiatie</w:t>
            </w:r>
            <w:r w:rsidR="006B4BAD">
              <w:t xml:space="preserve"> MWD</w:t>
            </w:r>
            <w:r>
              <w:t>’ (</w:t>
            </w:r>
            <w:proofErr w:type="spellStart"/>
            <w:r>
              <w:t>vakcode</w:t>
            </w:r>
            <w:proofErr w:type="spellEnd"/>
            <w:r>
              <w:t xml:space="preserve"> </w:t>
            </w:r>
            <w:r w:rsidR="006B4BAD">
              <w:t xml:space="preserve">1456), </w:t>
            </w:r>
            <w:proofErr w:type="spellStart"/>
            <w:r w:rsidR="006B4BAD">
              <w:t>ato</w:t>
            </w:r>
            <w:proofErr w:type="spellEnd"/>
            <w:r w:rsidR="006B4BAD">
              <w:t xml:space="preserve"> 2</w:t>
            </w:r>
          </w:p>
        </w:tc>
      </w:tr>
    </w:tbl>
    <w:p w14:paraId="55B605F4" w14:textId="273ED76E" w:rsidR="00AD2CBA" w:rsidRDefault="00AD2CBA" w:rsidP="007A63A2"/>
    <w:p w14:paraId="30DB506F" w14:textId="22F46DD4" w:rsidR="007A63A2" w:rsidRPr="007A63A2" w:rsidRDefault="007A63A2" w:rsidP="007A63A2">
      <w:pPr>
        <w:pBdr>
          <w:top w:val="single" w:sz="4" w:space="1" w:color="auto"/>
          <w:left w:val="single" w:sz="4" w:space="4" w:color="auto"/>
          <w:bottom w:val="single" w:sz="4" w:space="1" w:color="auto"/>
          <w:right w:val="single" w:sz="4" w:space="4" w:color="auto"/>
        </w:pBdr>
        <w:jc w:val="center"/>
        <w:rPr>
          <w:b/>
        </w:rPr>
      </w:pPr>
      <w:r w:rsidRPr="007A63A2">
        <w:rPr>
          <w:b/>
        </w:rPr>
        <w:t>Aanwending van de punten</w:t>
      </w:r>
    </w:p>
    <w:p w14:paraId="1345011A" w14:textId="5947F000" w:rsidR="007A63A2" w:rsidRDefault="007A63A2" w:rsidP="007A63A2"/>
    <w:tbl>
      <w:tblPr>
        <w:tblW w:w="9600" w:type="dxa"/>
        <w:tblCellMar>
          <w:left w:w="0" w:type="dxa"/>
          <w:right w:w="0" w:type="dxa"/>
        </w:tblCellMar>
        <w:tblLook w:val="0420" w:firstRow="1" w:lastRow="0" w:firstColumn="0" w:lastColumn="0" w:noHBand="0" w:noVBand="1"/>
      </w:tblPr>
      <w:tblGrid>
        <w:gridCol w:w="4800"/>
        <w:gridCol w:w="4800"/>
      </w:tblGrid>
      <w:tr w:rsidR="007A63A2" w:rsidRPr="007A63A2" w14:paraId="6FB0F150" w14:textId="77777777" w:rsidTr="007A63A2">
        <w:trPr>
          <w:trHeight w:val="584"/>
        </w:trPr>
        <w:tc>
          <w:tcPr>
            <w:tcW w:w="4800" w:type="dxa"/>
            <w:tcBorders>
              <w:top w:val="single" w:sz="8" w:space="0" w:color="FFFFFF"/>
              <w:left w:val="single" w:sz="8" w:space="0" w:color="FFFFFF"/>
              <w:bottom w:val="single" w:sz="24" w:space="0" w:color="FFFFFF"/>
              <w:right w:val="single" w:sz="8" w:space="0" w:color="FFFFFF"/>
            </w:tcBorders>
            <w:shd w:val="clear" w:color="auto" w:fill="E5DA04"/>
            <w:tcMar>
              <w:top w:w="72" w:type="dxa"/>
              <w:left w:w="144" w:type="dxa"/>
              <w:bottom w:w="72" w:type="dxa"/>
              <w:right w:w="144" w:type="dxa"/>
            </w:tcMar>
            <w:hideMark/>
          </w:tcPr>
          <w:p w14:paraId="63A15BEE" w14:textId="77777777" w:rsidR="007A63A2" w:rsidRPr="007A63A2" w:rsidRDefault="007A63A2" w:rsidP="007A63A2">
            <w:r w:rsidRPr="007A63A2">
              <w:rPr>
                <w:b/>
                <w:bCs/>
              </w:rPr>
              <w:t>1 uur aan salarisschaal</w:t>
            </w:r>
          </w:p>
        </w:tc>
        <w:tc>
          <w:tcPr>
            <w:tcW w:w="4800" w:type="dxa"/>
            <w:tcBorders>
              <w:top w:val="single" w:sz="8" w:space="0" w:color="FFFFFF"/>
              <w:left w:val="single" w:sz="8" w:space="0" w:color="FFFFFF"/>
              <w:bottom w:val="single" w:sz="24" w:space="0" w:color="FFFFFF"/>
              <w:right w:val="single" w:sz="8" w:space="0" w:color="FFFFFF"/>
            </w:tcBorders>
            <w:shd w:val="clear" w:color="auto" w:fill="E5DA04"/>
            <w:tcMar>
              <w:top w:w="72" w:type="dxa"/>
              <w:left w:w="144" w:type="dxa"/>
              <w:bottom w:w="72" w:type="dxa"/>
              <w:right w:w="144" w:type="dxa"/>
            </w:tcMar>
            <w:hideMark/>
          </w:tcPr>
          <w:p w14:paraId="40509D57" w14:textId="77777777" w:rsidR="007A63A2" w:rsidRPr="007A63A2" w:rsidRDefault="007A63A2" w:rsidP="007A63A2">
            <w:r w:rsidRPr="007A63A2">
              <w:rPr>
                <w:b/>
                <w:bCs/>
              </w:rPr>
              <w:t>Aantal punten</w:t>
            </w:r>
          </w:p>
        </w:tc>
      </w:tr>
      <w:tr w:rsidR="007A63A2" w:rsidRPr="007A63A2" w14:paraId="4DB426F4" w14:textId="77777777" w:rsidTr="007A63A2">
        <w:trPr>
          <w:trHeight w:val="584"/>
        </w:trPr>
        <w:tc>
          <w:tcPr>
            <w:tcW w:w="4800" w:type="dxa"/>
            <w:tcBorders>
              <w:top w:val="single" w:sz="24" w:space="0" w:color="FFFFFF"/>
              <w:left w:val="single" w:sz="8" w:space="0" w:color="FFFFFF"/>
              <w:bottom w:val="single" w:sz="8" w:space="0" w:color="FFFFFF"/>
              <w:right w:val="single" w:sz="8" w:space="0" w:color="FFFFFF"/>
            </w:tcBorders>
            <w:shd w:val="clear" w:color="auto" w:fill="F5F1CB"/>
            <w:tcMar>
              <w:top w:w="72" w:type="dxa"/>
              <w:left w:w="144" w:type="dxa"/>
              <w:bottom w:w="72" w:type="dxa"/>
              <w:right w:w="144" w:type="dxa"/>
            </w:tcMar>
            <w:hideMark/>
          </w:tcPr>
          <w:p w14:paraId="72267AAD" w14:textId="77777777" w:rsidR="007A63A2" w:rsidRPr="007A63A2" w:rsidRDefault="007A63A2" w:rsidP="007A63A2">
            <w:r w:rsidRPr="007A63A2">
              <w:t>300, 301, 302, 384</w:t>
            </w:r>
          </w:p>
        </w:tc>
        <w:tc>
          <w:tcPr>
            <w:tcW w:w="4800" w:type="dxa"/>
            <w:tcBorders>
              <w:top w:val="single" w:sz="24" w:space="0" w:color="FFFFFF"/>
              <w:left w:val="single" w:sz="8" w:space="0" w:color="FFFFFF"/>
              <w:bottom w:val="single" w:sz="8" w:space="0" w:color="FFFFFF"/>
              <w:right w:val="single" w:sz="8" w:space="0" w:color="FFFFFF"/>
            </w:tcBorders>
            <w:shd w:val="clear" w:color="auto" w:fill="F5F1CB"/>
            <w:tcMar>
              <w:top w:w="72" w:type="dxa"/>
              <w:left w:w="144" w:type="dxa"/>
              <w:bottom w:w="72" w:type="dxa"/>
              <w:right w:w="144" w:type="dxa"/>
            </w:tcMar>
            <w:hideMark/>
          </w:tcPr>
          <w:p w14:paraId="493D3F59" w14:textId="77777777" w:rsidR="007A63A2" w:rsidRPr="007A63A2" w:rsidRDefault="007A63A2" w:rsidP="007A63A2">
            <w:r w:rsidRPr="007A63A2">
              <w:t>5</w:t>
            </w:r>
          </w:p>
        </w:tc>
      </w:tr>
      <w:tr w:rsidR="007A63A2" w:rsidRPr="007A63A2" w14:paraId="4DA2B0FD" w14:textId="77777777" w:rsidTr="007A63A2">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FAF8E7"/>
            <w:tcMar>
              <w:top w:w="72" w:type="dxa"/>
              <w:left w:w="144" w:type="dxa"/>
              <w:bottom w:w="72" w:type="dxa"/>
              <w:right w:w="144" w:type="dxa"/>
            </w:tcMar>
            <w:hideMark/>
          </w:tcPr>
          <w:p w14:paraId="13472E84" w14:textId="77777777" w:rsidR="007A63A2" w:rsidRPr="007A63A2" w:rsidRDefault="007A63A2" w:rsidP="007A63A2">
            <w:r w:rsidRPr="007A63A2">
              <w:t>501, 346, 347</w:t>
            </w:r>
          </w:p>
        </w:tc>
        <w:tc>
          <w:tcPr>
            <w:tcW w:w="4800" w:type="dxa"/>
            <w:tcBorders>
              <w:top w:val="single" w:sz="8" w:space="0" w:color="FFFFFF"/>
              <w:left w:val="single" w:sz="8" w:space="0" w:color="FFFFFF"/>
              <w:bottom w:val="single" w:sz="8" w:space="0" w:color="FFFFFF"/>
              <w:right w:val="single" w:sz="8" w:space="0" w:color="FFFFFF"/>
            </w:tcBorders>
            <w:shd w:val="clear" w:color="auto" w:fill="FAF8E7"/>
            <w:tcMar>
              <w:top w:w="72" w:type="dxa"/>
              <w:left w:w="144" w:type="dxa"/>
              <w:bottom w:w="72" w:type="dxa"/>
              <w:right w:w="144" w:type="dxa"/>
            </w:tcMar>
            <w:hideMark/>
          </w:tcPr>
          <w:p w14:paraId="2CD0498F" w14:textId="77777777" w:rsidR="007A63A2" w:rsidRPr="007A63A2" w:rsidRDefault="007A63A2" w:rsidP="007A63A2">
            <w:r w:rsidRPr="007A63A2">
              <w:t>7</w:t>
            </w:r>
          </w:p>
        </w:tc>
      </w:tr>
    </w:tbl>
    <w:p w14:paraId="37CF1AA0" w14:textId="77777777" w:rsidR="007A63A2" w:rsidRDefault="007A63A2" w:rsidP="007A63A2"/>
    <w:sectPr w:rsidR="007A63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FA05" w14:textId="77777777" w:rsidR="00FC29D2" w:rsidRDefault="00FC29D2" w:rsidP="007A63A2">
      <w:pPr>
        <w:spacing w:after="0" w:line="240" w:lineRule="auto"/>
      </w:pPr>
      <w:r>
        <w:separator/>
      </w:r>
    </w:p>
  </w:endnote>
  <w:endnote w:type="continuationSeparator" w:id="0">
    <w:p w14:paraId="049C6AB2" w14:textId="77777777" w:rsidR="00FC29D2" w:rsidRDefault="00FC29D2" w:rsidP="007A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E358" w14:textId="77777777" w:rsidR="00FC29D2" w:rsidRDefault="00FC29D2" w:rsidP="007A63A2">
      <w:pPr>
        <w:spacing w:after="0" w:line="240" w:lineRule="auto"/>
      </w:pPr>
      <w:r>
        <w:separator/>
      </w:r>
    </w:p>
  </w:footnote>
  <w:footnote w:type="continuationSeparator" w:id="0">
    <w:p w14:paraId="0C3393F9" w14:textId="77777777" w:rsidR="00FC29D2" w:rsidRDefault="00FC29D2" w:rsidP="007A6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BA"/>
    <w:rsid w:val="000D42F6"/>
    <w:rsid w:val="000E3DD3"/>
    <w:rsid w:val="003D061D"/>
    <w:rsid w:val="00412A9B"/>
    <w:rsid w:val="005E43EA"/>
    <w:rsid w:val="006A62BA"/>
    <w:rsid w:val="006B4BAD"/>
    <w:rsid w:val="007A63A2"/>
    <w:rsid w:val="00807B27"/>
    <w:rsid w:val="00912CB6"/>
    <w:rsid w:val="00915BCA"/>
    <w:rsid w:val="009C12C2"/>
    <w:rsid w:val="00AD2CBA"/>
    <w:rsid w:val="00D10958"/>
    <w:rsid w:val="00DA5DA8"/>
    <w:rsid w:val="00F64BD0"/>
    <w:rsid w:val="00FC29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CC7E5"/>
  <w15:chartTrackingRefBased/>
  <w15:docId w15:val="{CBE58204-37A6-421B-A7F1-F5E1377E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D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5DA8"/>
    <w:pPr>
      <w:ind w:left="720"/>
      <w:contextualSpacing/>
    </w:pPr>
  </w:style>
  <w:style w:type="paragraph" w:styleId="Ballontekst">
    <w:name w:val="Balloon Text"/>
    <w:basedOn w:val="Standaard"/>
    <w:link w:val="BallontekstChar"/>
    <w:uiPriority w:val="99"/>
    <w:semiHidden/>
    <w:unhideWhenUsed/>
    <w:rsid w:val="00412A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A9B"/>
    <w:rPr>
      <w:rFonts w:ascii="Segoe UI" w:hAnsi="Segoe UI" w:cs="Segoe UI"/>
      <w:sz w:val="18"/>
      <w:szCs w:val="18"/>
    </w:rPr>
  </w:style>
  <w:style w:type="character" w:styleId="Hyperlink">
    <w:name w:val="Hyperlink"/>
    <w:basedOn w:val="Standaardalinea-lettertype"/>
    <w:uiPriority w:val="99"/>
    <w:unhideWhenUsed/>
    <w:rsid w:val="005E43EA"/>
    <w:rPr>
      <w:color w:val="0563C1" w:themeColor="hyperlink"/>
      <w:u w:val="single"/>
    </w:rPr>
  </w:style>
  <w:style w:type="character" w:styleId="Onopgelostemelding">
    <w:name w:val="Unresolved Mention"/>
    <w:basedOn w:val="Standaardalinea-lettertype"/>
    <w:uiPriority w:val="99"/>
    <w:semiHidden/>
    <w:unhideWhenUsed/>
    <w:rsid w:val="005E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ieke.quintens@ond.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8A6F0964F9741B8E7EAE63F5E42ED" ma:contentTypeVersion="0" ma:contentTypeDescription="Een nieuw document maken." ma:contentTypeScope="" ma:versionID="60f36306cb75c4ff1e37728cdf535c5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A68EC-7FC8-4B20-9A44-62E7DE43D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EF1BD-7DFC-492D-BEDB-FCA6A28FE2F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BABE0F-60A3-4BE0-9560-1861CA13E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2994</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Quintens Mieke</dc:creator>
  <cp:keywords/>
  <dc:description/>
  <cp:lastModifiedBy>Quintens Mieke</cp:lastModifiedBy>
  <cp:revision>2</cp:revision>
  <cp:lastPrinted>2019-07-15T09:24:00Z</cp:lastPrinted>
  <dcterms:created xsi:type="dcterms:W3CDTF">2019-07-18T08:06:00Z</dcterms:created>
  <dcterms:modified xsi:type="dcterms:W3CDTF">2019-07-18T08:06:00Z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0x0101005888A6F0964F9741B8E7EAE63F5E42ED</vt:lpwstr>
  </property>
</Properties>
</file>