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1" w:rsidRDefault="00BA3074" w:rsidP="005E0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proofErr w:type="spellStart"/>
      <w:r w:rsidRPr="00323005">
        <w:rPr>
          <w:b/>
          <w:lang w:val="nl-BE"/>
        </w:rPr>
        <w:t>CLB’s</w:t>
      </w:r>
      <w:proofErr w:type="spellEnd"/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5E0A35" w:rsidRDefault="005E0A35">
      <w:pPr>
        <w:rPr>
          <w:b/>
          <w:lang w:val="nl-BE"/>
        </w:rPr>
      </w:pPr>
    </w:p>
    <w:p w:rsidR="005E0A35" w:rsidRDefault="005E0A35">
      <w:pPr>
        <w:rPr>
          <w:b/>
          <w:lang w:val="nl-BE"/>
        </w:rPr>
      </w:pPr>
    </w:p>
    <w:p w:rsidR="005E0A35" w:rsidRDefault="005E0A35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 xml:space="preserve">Voor een leerling </w:t>
      </w:r>
      <w:r w:rsidR="005E0A35">
        <w:rPr>
          <w:lang w:val="nl-BE"/>
        </w:rPr>
        <w:t xml:space="preserve">van het </w:t>
      </w:r>
      <w:r w:rsidR="00401569">
        <w:rPr>
          <w:lang w:val="nl-BE"/>
        </w:rPr>
        <w:t xml:space="preserve">vijfde leerjaar </w:t>
      </w:r>
      <w:r>
        <w:rPr>
          <w:lang w:val="nl-BE"/>
        </w:rPr>
        <w:t>w</w:t>
      </w:r>
      <w:r w:rsidR="00891807">
        <w:rPr>
          <w:lang w:val="nl-BE"/>
        </w:rPr>
        <w:t>ordt volgend programma opgelegd:</w:t>
      </w:r>
    </w:p>
    <w:p w:rsidR="00891807" w:rsidRDefault="00891807" w:rsidP="00F55D2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 w:rsidR="00D70D7D">
        <w:t>gegevens die door de ouders/de voogd zijn medegedeeld. Het betreft de medische voorgeschiedenis van het kind en informatie over de gezinscontext die relevant is voor de groei en ontwikkeling van het kind;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 xml:space="preserve">De interpretatie van informatie die beschikbaar wordt gesteld </w:t>
      </w:r>
      <w:r w:rsidR="00BF47E6">
        <w:t>door het CLB of de school, inclusief afwezigheids- of ongeschiktheidsattesten en over de fysieke fitheid;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 xml:space="preserve">De interpretatie van gegevens die door de behandelende arts </w:t>
      </w:r>
      <w:r w:rsidR="00F6538B">
        <w:t>worden</w:t>
      </w:r>
      <w:r>
        <w:t xml:space="preserve"> gegeven;</w:t>
      </w:r>
    </w:p>
    <w:p w:rsidR="00BF47E6" w:rsidRDefault="00BF47E6" w:rsidP="00F55D23">
      <w:pPr>
        <w:pStyle w:val="Lijstalinea"/>
        <w:numPr>
          <w:ilvl w:val="0"/>
          <w:numId w:val="6"/>
        </w:numPr>
      </w:pPr>
      <w:r>
        <w:t>De bevraging van voedings- en leefgewoonten;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Bijzondere aandacht voor de groei, gewicht, d</w:t>
      </w:r>
      <w:r w:rsidR="00BF47E6">
        <w:t>e visuele functie</w:t>
      </w:r>
      <w:r w:rsidR="007002B7">
        <w:t>, gehooronderzoek</w:t>
      </w:r>
      <w:r w:rsidR="0096335C">
        <w:t xml:space="preserve">, de genitalia (indaling testes, </w:t>
      </w:r>
      <w:r w:rsidR="00BF47E6">
        <w:t>ontwikkeling puberteit</w:t>
      </w:r>
      <w:r w:rsidR="0096335C">
        <w:t>)</w:t>
      </w:r>
      <w:r w:rsidR="00B27A79">
        <w:t>, gebit</w:t>
      </w:r>
      <w:r w:rsidR="00BF47E6">
        <w:t>, houding- en bewegingsstelsel</w:t>
      </w:r>
      <w:r w:rsidR="00B27A79">
        <w:t>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55206E" w:rsidRDefault="0055206E" w:rsidP="0055206E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55206E" w:rsidRDefault="0055206E" w:rsidP="0055206E">
      <w:r>
        <w:t>Geboortedatum: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5206E" w:rsidRDefault="0055206E" w:rsidP="0055206E">
      <w:r>
        <w:t>Thuisadres: …………………………………………………………………………………………………………………………………………………………</w:t>
      </w:r>
    </w:p>
    <w:p w:rsidR="0055206E" w:rsidRDefault="0055206E" w:rsidP="0055206E">
      <w:r>
        <w:t>……………………………………………………………………………………………………………………………………………………………………………</w:t>
      </w:r>
    </w:p>
    <w:p w:rsidR="0055206E" w:rsidRDefault="0055206E" w:rsidP="0055206E">
      <w:r>
        <w:t>School: ……………………………………………………………………………………………………………………………………………………………….</w:t>
      </w:r>
    </w:p>
    <w:p w:rsidR="00437719" w:rsidRDefault="00437719" w:rsidP="00437719">
      <w:pPr>
        <w:pStyle w:val="Kop1"/>
      </w:pPr>
      <w:r>
        <w:t>Relevante informatie van het kind en zijn/haar gezin</w:t>
      </w:r>
    </w:p>
    <w:p w:rsidR="00437719" w:rsidRDefault="00437719" w:rsidP="00437719">
      <w:r>
        <w:t>Gezinssamenstelling:</w:t>
      </w:r>
    </w:p>
    <w:p w:rsidR="00437719" w:rsidRDefault="00437719" w:rsidP="00437719"/>
    <w:p w:rsidR="00DB6832" w:rsidRDefault="00DB6832" w:rsidP="00437719"/>
    <w:p w:rsidR="00DB6832" w:rsidRDefault="00DB6832" w:rsidP="00437719"/>
    <w:p w:rsidR="00437719" w:rsidRDefault="00437719" w:rsidP="00437719">
      <w:r>
        <w:t>Medische antecedenten van het kind:</w:t>
      </w:r>
    </w:p>
    <w:p w:rsidR="00437719" w:rsidRDefault="00437719" w:rsidP="00437719"/>
    <w:p w:rsidR="00DB6832" w:rsidRDefault="00DB6832" w:rsidP="00437719"/>
    <w:p w:rsidR="00437719" w:rsidRDefault="00437719" w:rsidP="00437719"/>
    <w:p w:rsidR="00437719" w:rsidRDefault="00437719" w:rsidP="00437719">
      <w:r>
        <w:t>Bijzondere gezinskenmerken die belangrijk (belastend of versterkend) zijn voor de opvoeding, groei en ontwikkeling van het kind:</w:t>
      </w:r>
    </w:p>
    <w:p w:rsidR="00DB6832" w:rsidRDefault="00DB6832" w:rsidP="00437719"/>
    <w:p w:rsidR="00DB6832" w:rsidRDefault="00DB6832" w:rsidP="00437719"/>
    <w:p w:rsidR="00E6277E" w:rsidRDefault="00E6277E" w:rsidP="00E6277E">
      <w:pPr>
        <w:pStyle w:val="Kop1"/>
      </w:pPr>
      <w:r>
        <w:t>Voedings- en leefgewoonten</w:t>
      </w:r>
    </w:p>
    <w:p w:rsidR="00E6277E" w:rsidRDefault="00E6277E" w:rsidP="00E6277E">
      <w:r>
        <w:t xml:space="preserve">Geef aan </w:t>
      </w:r>
      <w:r w:rsidR="009D3F57">
        <w:t>op welke aspecten</w:t>
      </w:r>
      <w:r>
        <w:t xml:space="preserve"> er advies werd gegeven ter verbetering van de voedings- en leefgewoonten.</w:t>
      </w:r>
    </w:p>
    <w:p w:rsidR="009D3F57" w:rsidRDefault="009D3F57" w:rsidP="00E6277E"/>
    <w:p w:rsidR="009D3F57" w:rsidRPr="00E6277E" w:rsidRDefault="009D3F57" w:rsidP="00E6277E"/>
    <w:p w:rsidR="00437719" w:rsidRDefault="00437719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  <w:r w:rsidR="0015601E">
        <w:t xml:space="preserve"> en </w:t>
      </w:r>
      <w:proofErr w:type="spellStart"/>
      <w:r w:rsidR="00CF57B5">
        <w:t>pubertaire</w:t>
      </w:r>
      <w:proofErr w:type="spellEnd"/>
      <w:r w:rsidR="0015601E">
        <w:t xml:space="preserve"> ontwikkeling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  <w:r w:rsidR="00CF57B5">
        <w:br/>
      </w:r>
      <w:proofErr w:type="gramStart"/>
      <w:r w:rsidR="00CF57B5">
        <w:t>De  scorekaarten</w:t>
      </w:r>
      <w:proofErr w:type="gramEnd"/>
      <w:r w:rsidR="00CF57B5">
        <w:t xml:space="preserve"> voor de </w:t>
      </w:r>
      <w:proofErr w:type="spellStart"/>
      <w:r w:rsidR="00CF57B5">
        <w:t>pubertaire</w:t>
      </w:r>
      <w:proofErr w:type="spellEnd"/>
      <w:r w:rsidR="00CF57B5">
        <w:t xml:space="preserve"> ontwikkeling: </w:t>
      </w:r>
      <w:hyperlink r:id="rId9" w:history="1">
        <w:r w:rsidR="00CF57B5" w:rsidRPr="00354445">
          <w:rPr>
            <w:rStyle w:val="Hyperlink"/>
          </w:rPr>
          <w:t>http://www.vub.ac.be/groeicurven/pubemodel.html</w:t>
        </w:r>
      </w:hyperlink>
      <w:r w:rsidR="00CF57B5">
        <w:t xml:space="preserve"> </w:t>
      </w:r>
    </w:p>
    <w:p w:rsidR="00AA6E76" w:rsidRDefault="00AA6E76" w:rsidP="00437719">
      <w:proofErr w:type="gramStart"/>
      <w:r>
        <w:t>gestalte</w:t>
      </w:r>
      <w:proofErr w:type="gramEnd"/>
      <w:r>
        <w:t xml:space="preserve">: .....................(tot op 1 mm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roofErr w:type="gramStart"/>
      <w:r>
        <w:t>gewicht</w:t>
      </w:r>
      <w:proofErr w:type="gramEnd"/>
      <w:r>
        <w:t xml:space="preserve">: …………………..(tot op 100 gram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Pr>
        <w:rPr>
          <w:lang w:val="en-US"/>
        </w:rPr>
      </w:pPr>
      <w:r w:rsidRPr="00F15B97">
        <w:rPr>
          <w:lang w:val="en-US"/>
        </w:rPr>
        <w:t>BMI: ………………………….</w:t>
      </w:r>
    </w:p>
    <w:p w:rsidR="007F7CDE" w:rsidRPr="00F15B97" w:rsidRDefault="007F7CDE" w:rsidP="00437719">
      <w:pPr>
        <w:rPr>
          <w:lang w:val="en-US"/>
        </w:rPr>
      </w:pPr>
    </w:p>
    <w:p w:rsidR="003471C9" w:rsidRDefault="00CF57B5" w:rsidP="00437719">
      <w:pPr>
        <w:rPr>
          <w:lang w:val="en-US"/>
        </w:rPr>
      </w:pPr>
      <w:r w:rsidRPr="00F15B97">
        <w:rPr>
          <w:lang w:val="en-US"/>
        </w:rPr>
        <w:lastRenderedPageBreak/>
        <w:t xml:space="preserve">Pub score </w:t>
      </w:r>
      <w:proofErr w:type="spellStart"/>
      <w:r w:rsidRPr="00F15B97">
        <w:rPr>
          <w:lang w:val="en-US"/>
        </w:rPr>
        <w:t>jongens</w:t>
      </w:r>
      <w:proofErr w:type="spellEnd"/>
      <w:r w:rsidRPr="00F15B97">
        <w:rPr>
          <w:lang w:val="en-US"/>
        </w:rPr>
        <w:t>: T-volume li: ….</w:t>
      </w:r>
      <w:r w:rsidRPr="00F15B97">
        <w:rPr>
          <w:lang w:val="en-US"/>
        </w:rPr>
        <w:tab/>
        <w:t>/</w:t>
      </w:r>
      <w:proofErr w:type="gramStart"/>
      <w:r w:rsidRPr="00F15B97">
        <w:rPr>
          <w:lang w:val="en-US"/>
        </w:rPr>
        <w:t>re .</w:t>
      </w:r>
      <w:proofErr w:type="gramEnd"/>
      <w:r w:rsidRPr="00F15B97">
        <w:rPr>
          <w:lang w:val="en-US"/>
        </w:rPr>
        <w:t>….</w:t>
      </w:r>
      <w:r w:rsidRPr="00F15B97">
        <w:rPr>
          <w:lang w:val="en-US"/>
        </w:rPr>
        <w:tab/>
      </w:r>
      <w:r w:rsidRPr="00CF57B5">
        <w:rPr>
          <w:lang w:val="en-US"/>
        </w:rPr>
        <w:t>G-score: li …… / re ………</w:t>
      </w:r>
      <w:r w:rsidRPr="00CF57B5">
        <w:rPr>
          <w:lang w:val="en-US"/>
        </w:rPr>
        <w:tab/>
      </w:r>
      <w:r w:rsidRPr="00F6538B">
        <w:rPr>
          <w:lang w:val="en-US"/>
        </w:rPr>
        <w:t>P-score: li …… / re ………</w:t>
      </w:r>
    </w:p>
    <w:p w:rsidR="00CF57B5" w:rsidRDefault="00CF57B5" w:rsidP="00437719">
      <w:r w:rsidRPr="00F6538B">
        <w:br/>
      </w:r>
      <w:r w:rsidRPr="00F15B97">
        <w:t>Pub score meisjes: M-score: li …</w:t>
      </w:r>
      <w:proofErr w:type="gramStart"/>
      <w:r w:rsidRPr="00F15B97">
        <w:t>… /</w:t>
      </w:r>
      <w:proofErr w:type="gramEnd"/>
      <w:r w:rsidRPr="00F15B97">
        <w:t xml:space="preserve"> re ………</w:t>
      </w:r>
      <w:r w:rsidRPr="00F15B97">
        <w:tab/>
      </w:r>
      <w:r w:rsidRPr="00F15B97">
        <w:tab/>
      </w:r>
      <w:r w:rsidRPr="00CF57B5">
        <w:t>P-score: li …</w:t>
      </w:r>
      <w:proofErr w:type="gramStart"/>
      <w:r w:rsidRPr="00CF57B5">
        <w:t>… /</w:t>
      </w:r>
      <w:proofErr w:type="gramEnd"/>
      <w:r w:rsidRPr="00CF57B5">
        <w:t xml:space="preserve"> re ………</w:t>
      </w:r>
      <w:r w:rsidRPr="00CF57B5">
        <w:tab/>
      </w:r>
      <w:proofErr w:type="gramStart"/>
      <w:r w:rsidRPr="00CF57B5">
        <w:t>leeftijd</w:t>
      </w:r>
      <w:proofErr w:type="gramEnd"/>
      <w:r w:rsidRPr="00CF57B5">
        <w:t xml:space="preserve"> menarche</w:t>
      </w:r>
      <w:r>
        <w:t>: ……………</w:t>
      </w:r>
    </w:p>
    <w:p w:rsidR="003471C9" w:rsidRPr="00AA3F1C" w:rsidRDefault="003471C9" w:rsidP="00437719">
      <w:pPr>
        <w:rPr>
          <w:lang w:val="en-US"/>
        </w:rPr>
      </w:pPr>
    </w:p>
    <w:p w:rsidR="007002B7" w:rsidRDefault="007002B7" w:rsidP="007002B7">
      <w:pPr>
        <w:pStyle w:val="Kop2"/>
      </w:pPr>
      <w:r>
        <w:t>Visuele functie</w:t>
      </w:r>
    </w:p>
    <w:p w:rsidR="00164314" w:rsidRDefault="00CF57B5" w:rsidP="007002B7">
      <w:r>
        <w:t>D</w:t>
      </w:r>
      <w:r w:rsidR="007002B7">
        <w:t xml:space="preserve">e </w:t>
      </w:r>
      <w:r>
        <w:t>controle van de</w:t>
      </w:r>
      <w:r w:rsidR="0055206E">
        <w:t xml:space="preserve"> gezichtsscherpte en het diepte</w:t>
      </w:r>
      <w:r>
        <w:t>zicht</w:t>
      </w:r>
      <w:r w:rsidR="007002B7">
        <w:t>. Voor de methode, interpretatie en beleid gelden de richtlijnen voor visusonderzoek in de CLB:</w:t>
      </w:r>
      <w:r w:rsidR="00164314">
        <w:t xml:space="preserve"> </w:t>
      </w:r>
      <w:hyperlink r:id="rId10" w:history="1">
        <w:r w:rsidR="00164314" w:rsidRPr="00341DE0">
          <w:rPr>
            <w:rStyle w:val="Hyperlink"/>
          </w:rPr>
          <w:t>http://www.vwvj.be/index.php?page=156</w:t>
        </w:r>
      </w:hyperlink>
      <w:r w:rsidR="00164314">
        <w:t xml:space="preserve"> </w:t>
      </w:r>
    </w:p>
    <w:p w:rsidR="00164314" w:rsidRDefault="00164314" w:rsidP="007002B7">
      <w:r w:rsidRPr="003471C9">
        <w:rPr>
          <w:b/>
        </w:rPr>
        <w:t>Resultaten gezichtsscherpte op afstand</w:t>
      </w:r>
      <w:r>
        <w:t xml:space="preserve"> (screening </w:t>
      </w:r>
      <w:r w:rsidR="00CF57B5">
        <w:t>Snellen-kaart</w:t>
      </w:r>
      <w:r>
        <w:t xml:space="preserve"> of onderzoek door de oogarts): </w:t>
      </w:r>
      <w:r w:rsidR="00CF57B5">
        <w:br/>
      </w:r>
      <w:hyperlink r:id="rId11" w:history="1">
        <w:r w:rsidR="00CF57B5" w:rsidRPr="00354445">
          <w:rPr>
            <w:rStyle w:val="Hyperlink"/>
          </w:rPr>
          <w:t>http://www.vwvj.be/uploads/documentenbank/0b87c19a583e7e52934ff88164dbd401.pdf</w:t>
        </w:r>
      </w:hyperlink>
      <w:r w:rsidR="00CF57B5">
        <w:t xml:space="preserve"> </w:t>
      </w:r>
    </w:p>
    <w:p w:rsidR="00164314" w:rsidRDefault="00164314" w:rsidP="007002B7">
      <w:proofErr w:type="gramStart"/>
      <w:r>
        <w:t>li</w:t>
      </w:r>
      <w:proofErr w:type="gramEnd"/>
      <w:r>
        <w:t>: ………../ re ……</w:t>
      </w:r>
    </w:p>
    <w:p w:rsidR="00164314" w:rsidRDefault="0055206E" w:rsidP="0055206E">
      <w:r w:rsidRPr="003471C9">
        <w:rPr>
          <w:b/>
        </w:rPr>
        <w:t>Resultaten van het onderzoek van het dieptezicht</w:t>
      </w:r>
      <w:r>
        <w:t>:</w:t>
      </w:r>
      <w:r>
        <w:br/>
      </w:r>
      <w:hyperlink r:id="rId12" w:history="1">
        <w:r w:rsidR="00CF57B5" w:rsidRPr="00354445">
          <w:rPr>
            <w:rStyle w:val="Hyperlink"/>
          </w:rPr>
          <w:t>http://www.vwvj.be/uploads/documentenbank/62bff0cd1db8bf79a4b5b2d90c20b493.pdf</w:t>
        </w:r>
      </w:hyperlink>
      <w:r w:rsidR="00CF57B5">
        <w:t xml:space="preserve"> </w:t>
      </w:r>
    </w:p>
    <w:p w:rsidR="000A7555" w:rsidRDefault="000A7555" w:rsidP="000A7555">
      <w:pPr>
        <w:pStyle w:val="Lijstalinea"/>
        <w:numPr>
          <w:ilvl w:val="0"/>
          <w:numId w:val="7"/>
        </w:numPr>
      </w:pPr>
      <w:r>
        <w:t>Afwijkend binoculair stereozicht (afwezig of zeer zwak)</w:t>
      </w:r>
    </w:p>
    <w:p w:rsidR="000A7555" w:rsidRDefault="000A7555" w:rsidP="000A7555">
      <w:pPr>
        <w:pStyle w:val="Lijstalinea"/>
        <w:numPr>
          <w:ilvl w:val="0"/>
          <w:numId w:val="7"/>
        </w:numPr>
      </w:pPr>
      <w:r>
        <w:t>Afwijkend binoculair stereozicht (zeer zwak)</w:t>
      </w:r>
    </w:p>
    <w:p w:rsidR="000A7555" w:rsidRDefault="000A7555" w:rsidP="000A7555">
      <w:pPr>
        <w:pStyle w:val="Lijstalinea"/>
        <w:numPr>
          <w:ilvl w:val="0"/>
          <w:numId w:val="7"/>
        </w:numPr>
      </w:pPr>
      <w:r>
        <w:t>Afwijkend binoculair stereozicht (zwak)</w:t>
      </w:r>
    </w:p>
    <w:p w:rsidR="000A7555" w:rsidRDefault="000A7555" w:rsidP="000A7555">
      <w:pPr>
        <w:pStyle w:val="Lijstalinea"/>
        <w:numPr>
          <w:ilvl w:val="0"/>
          <w:numId w:val="7"/>
        </w:numPr>
      </w:pPr>
      <w:r>
        <w:t>Normaal binoculair stereozicht</w:t>
      </w:r>
    </w:p>
    <w:p w:rsidR="00DB6832" w:rsidRDefault="000A7555" w:rsidP="000A7555">
      <w:pPr>
        <w:pStyle w:val="Lijstalinea"/>
        <w:numPr>
          <w:ilvl w:val="0"/>
          <w:numId w:val="7"/>
        </w:numPr>
      </w:pPr>
      <w:r>
        <w:t>Zeer goed binoculair stereozicht</w:t>
      </w:r>
    </w:p>
    <w:p w:rsidR="000A7555" w:rsidRDefault="000A7555" w:rsidP="000A7555">
      <w:pPr>
        <w:pStyle w:val="Lijstalinea"/>
        <w:numPr>
          <w:ilvl w:val="0"/>
          <w:numId w:val="7"/>
        </w:numPr>
      </w:pPr>
      <w:r>
        <w:t>Uitstekend binoculair stereozicht</w:t>
      </w:r>
    </w:p>
    <w:p w:rsidR="003471C9" w:rsidRPr="007002B7" w:rsidRDefault="003471C9" w:rsidP="00D948DE">
      <w:bookmarkStart w:id="0" w:name="_GoBack"/>
      <w:bookmarkEnd w:id="0"/>
    </w:p>
    <w:p w:rsidR="00437719" w:rsidRDefault="00284C88" w:rsidP="00284C88">
      <w:pPr>
        <w:pStyle w:val="Kop2"/>
      </w:pPr>
      <w:r>
        <w:t>Gehoorfunctie</w:t>
      </w:r>
    </w:p>
    <w:p w:rsidR="00284C88" w:rsidRDefault="00284C88" w:rsidP="00284C88">
      <w:r>
        <w:t xml:space="preserve">Doel is de tijdige detectie van </w:t>
      </w:r>
      <w:r w:rsidR="00E6277E">
        <w:t>lawaaischade</w:t>
      </w:r>
      <w:r>
        <w:t xml:space="preserve">. Voor de methode, interpretatie en beleid gelden de richtlijnen voor gehooronderzoek in de CLB: </w:t>
      </w:r>
      <w:hyperlink r:id="rId13" w:history="1">
        <w:r w:rsidRPr="00341DE0">
          <w:rPr>
            <w:rStyle w:val="Hyperlink"/>
          </w:rPr>
          <w:t>http://www.vwvj.be/index.php?page=695</w:t>
        </w:r>
      </w:hyperlink>
      <w:r>
        <w:t xml:space="preserve"> </w:t>
      </w:r>
    </w:p>
    <w:p w:rsidR="00912AB9" w:rsidRDefault="00E6277E" w:rsidP="00912AB9">
      <w:r>
        <w:t xml:space="preserve">Het gehooronderzoek is </w:t>
      </w:r>
      <w:proofErr w:type="gramStart"/>
      <w:r>
        <w:t>normaal /</w:t>
      </w:r>
      <w:proofErr w:type="gramEnd"/>
      <w:r>
        <w:t xml:space="preserve"> afwijkend (schrappen wat niet past)</w:t>
      </w:r>
    </w:p>
    <w:p w:rsidR="007F7CDE" w:rsidRDefault="007F7CDE" w:rsidP="00912AB9"/>
    <w:p w:rsidR="00B27A79" w:rsidRDefault="00B27A79" w:rsidP="00B27A79">
      <w:pPr>
        <w:pStyle w:val="Kop2"/>
      </w:pPr>
      <w:r>
        <w:t>Mondgezondheid</w:t>
      </w:r>
    </w:p>
    <w:p w:rsidR="0014435A" w:rsidRPr="0014435A" w:rsidRDefault="0014435A" w:rsidP="0014435A">
      <w:r>
        <w:t xml:space="preserve">Voor de methode, interpretatie en beleid gelden de richtlijnen voor </w:t>
      </w:r>
      <w:r w:rsidR="001268E3">
        <w:t>mondgezondheid</w:t>
      </w:r>
      <w:r>
        <w:t xml:space="preserve"> in de CLB: </w:t>
      </w:r>
      <w:hyperlink r:id="rId14" w:history="1">
        <w:r w:rsidR="001268E3" w:rsidRPr="00341DE0">
          <w:rPr>
            <w:rStyle w:val="Hyperlink"/>
          </w:rPr>
          <w:t>http://www.vwvj.be/uploads/documentenbank/2e6b3e1eeb54b9f0f8168b33bf7f1d43.pdf</w:t>
        </w:r>
      </w:hyperlink>
      <w:r w:rsidR="001268E3">
        <w:t xml:space="preserve"> </w:t>
      </w:r>
    </w:p>
    <w:p w:rsidR="00C5149C" w:rsidRDefault="00B27A79" w:rsidP="00B27A79">
      <w:r>
        <w:t>Gaat het kind jaarlijks naar de tandarts:</w:t>
      </w:r>
      <w:r>
        <w:tab/>
      </w:r>
      <w:proofErr w:type="gramStart"/>
      <w:r>
        <w:t>ja /</w:t>
      </w:r>
      <w:proofErr w:type="gramEnd"/>
      <w:r>
        <w:t xml:space="preserve"> neen (schrappen wat niet past)</w:t>
      </w:r>
      <w:r w:rsidR="0014435A">
        <w:br/>
        <w:t>Poetst</w:t>
      </w:r>
      <w:r w:rsidR="001268E3">
        <w:t xml:space="preserve"> het kind tweemaal per dag de tanden: ja / neen (schrappen wat niet past)</w:t>
      </w:r>
    </w:p>
    <w:p w:rsidR="003471C9" w:rsidRDefault="003471C9" w:rsidP="00B27A79"/>
    <w:p w:rsidR="00AA3F1C" w:rsidRDefault="00AA3F1C" w:rsidP="00B27A79"/>
    <w:p w:rsidR="00AA3F1C" w:rsidRDefault="00AA3F1C" w:rsidP="00AA3F1C">
      <w:pPr>
        <w:pStyle w:val="Kop2"/>
      </w:pPr>
      <w:r>
        <w:t>Houding- en bewegingsstelsel</w:t>
      </w:r>
    </w:p>
    <w:p w:rsidR="00AA3F1C" w:rsidRDefault="00AA3F1C" w:rsidP="00AA3F1C">
      <w:r>
        <w:t>Zijn er tekenen van scoliose of andere afwijkingen van het bewegingsstelsel?</w:t>
      </w:r>
    </w:p>
    <w:p w:rsidR="00AA3F1C" w:rsidRDefault="00AA3F1C" w:rsidP="00B27A79"/>
    <w:p w:rsidR="00437719" w:rsidRPr="00437719" w:rsidRDefault="00437719" w:rsidP="00437719"/>
    <w:p w:rsidR="00F15B97" w:rsidRDefault="00F15B97" w:rsidP="00F15B97">
      <w:pPr>
        <w:pStyle w:val="Kop1"/>
        <w:rPr>
          <w:lang w:val="nl-BE"/>
        </w:rPr>
      </w:pPr>
      <w:r>
        <w:rPr>
          <w:lang w:val="nl-BE"/>
        </w:rPr>
        <w:lastRenderedPageBreak/>
        <w:t>nazorg</w:t>
      </w:r>
    </w:p>
    <w:p w:rsidR="00AA3F1C" w:rsidRDefault="00AA3F1C" w:rsidP="00F15B97">
      <w:pPr>
        <w:rPr>
          <w:lang w:val="nl-BE"/>
        </w:rPr>
      </w:pPr>
      <w:r>
        <w:rPr>
          <w:lang w:val="nl-BE"/>
        </w:rPr>
        <w:t>Welke zorg wordt er na dit onde</w:t>
      </w:r>
      <w:r>
        <w:rPr>
          <w:lang w:val="nl-BE"/>
        </w:rPr>
        <w:t>rzoek door u verder aangeboden?</w:t>
      </w:r>
    </w:p>
    <w:p w:rsidR="00AA3F1C" w:rsidRDefault="00AA3F1C" w:rsidP="00F15B97">
      <w:pPr>
        <w:rPr>
          <w:lang w:val="nl-BE"/>
        </w:rPr>
      </w:pPr>
    </w:p>
    <w:p w:rsidR="00891807" w:rsidRDefault="00F15B97">
      <w:pPr>
        <w:rPr>
          <w:lang w:val="nl-BE"/>
        </w:rPr>
      </w:pPr>
      <w:r>
        <w:rPr>
          <w:lang w:val="nl-BE"/>
        </w:rPr>
        <w:t xml:space="preserve">Werd </w:t>
      </w:r>
      <w:r w:rsidR="00EB2882">
        <w:rPr>
          <w:lang w:val="nl-BE"/>
        </w:rPr>
        <w:t>het kind</w:t>
      </w:r>
      <w:r>
        <w:rPr>
          <w:lang w:val="nl-BE"/>
        </w:rPr>
        <w:t xml:space="preserve"> verwezen vo</w:t>
      </w:r>
      <w:r w:rsidR="00AA3F1C">
        <w:rPr>
          <w:lang w:val="nl-BE"/>
        </w:rPr>
        <w:t>or verder onderzoek en naar wie?</w:t>
      </w:r>
    </w:p>
    <w:p w:rsidR="003471C9" w:rsidRDefault="003471C9">
      <w:pPr>
        <w:rPr>
          <w:lang w:val="nl-BE"/>
        </w:rPr>
      </w:pPr>
    </w:p>
    <w:p w:rsidR="003471C9" w:rsidRDefault="003471C9">
      <w:pPr>
        <w:rPr>
          <w:lang w:val="nl-BE"/>
        </w:rPr>
      </w:pPr>
    </w:p>
    <w:p w:rsidR="003471C9" w:rsidRPr="004E0146" w:rsidRDefault="003471C9" w:rsidP="003471C9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:rsidR="003471C9" w:rsidRDefault="003471C9">
      <w:pPr>
        <w:rPr>
          <w:lang w:val="nl-BE"/>
        </w:rPr>
      </w:pPr>
    </w:p>
    <w:sectPr w:rsidR="003471C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C8" w:rsidRDefault="003224C8" w:rsidP="00E73291">
      <w:pPr>
        <w:spacing w:before="0" w:after="0" w:line="240" w:lineRule="auto"/>
      </w:pPr>
      <w:r>
        <w:separator/>
      </w:r>
    </w:p>
  </w:endnote>
  <w:endnote w:type="continuationSeparator" w:id="0">
    <w:p w:rsidR="003224C8" w:rsidRDefault="003224C8" w:rsidP="00E732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91" w:rsidRPr="00721301" w:rsidRDefault="00E73291" w:rsidP="00E73291">
    <w:pPr>
      <w:pStyle w:val="Voettekst"/>
      <w:rPr>
        <w:lang w:val="nl-BE"/>
      </w:rPr>
    </w:pPr>
    <w:r>
      <w:rPr>
        <w:lang w:val="nl-BE"/>
      </w:rPr>
      <w:t>Modelverslag consult 5</w:t>
    </w:r>
    <w:r w:rsidRPr="00E73291">
      <w:rPr>
        <w:vertAlign w:val="superscript"/>
        <w:lang w:val="nl-BE"/>
      </w:rPr>
      <w:t>e</w:t>
    </w:r>
    <w:r>
      <w:rPr>
        <w:lang w:val="nl-BE"/>
      </w:rPr>
      <w:t xml:space="preserve"> leerjaar of het schooljaar dat de leerling 11 jaar wordt</w:t>
    </w:r>
  </w:p>
  <w:p w:rsidR="00E73291" w:rsidRPr="00E73291" w:rsidRDefault="00E7329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C8" w:rsidRDefault="003224C8" w:rsidP="00E73291">
      <w:pPr>
        <w:spacing w:before="0" w:after="0" w:line="240" w:lineRule="auto"/>
      </w:pPr>
      <w:r>
        <w:separator/>
      </w:r>
    </w:p>
  </w:footnote>
  <w:footnote w:type="continuationSeparator" w:id="0">
    <w:p w:rsidR="003224C8" w:rsidRDefault="003224C8" w:rsidP="00E732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8C6"/>
    <w:multiLevelType w:val="hybridMultilevel"/>
    <w:tmpl w:val="7BE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5DB"/>
    <w:multiLevelType w:val="hybridMultilevel"/>
    <w:tmpl w:val="C4348C42"/>
    <w:lvl w:ilvl="0" w:tplc="512C77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004"/>
    <w:multiLevelType w:val="hybridMultilevel"/>
    <w:tmpl w:val="049C2FCA"/>
    <w:lvl w:ilvl="0" w:tplc="9D92809E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66C9B"/>
    <w:rsid w:val="000825EC"/>
    <w:rsid w:val="000A7555"/>
    <w:rsid w:val="0012668A"/>
    <w:rsid w:val="001268E3"/>
    <w:rsid w:val="0014435A"/>
    <w:rsid w:val="0015601E"/>
    <w:rsid w:val="00164314"/>
    <w:rsid w:val="00284C88"/>
    <w:rsid w:val="002C05BD"/>
    <w:rsid w:val="003224C8"/>
    <w:rsid w:val="00323005"/>
    <w:rsid w:val="00336766"/>
    <w:rsid w:val="003471C9"/>
    <w:rsid w:val="003B06DA"/>
    <w:rsid w:val="00401569"/>
    <w:rsid w:val="00437719"/>
    <w:rsid w:val="004C4091"/>
    <w:rsid w:val="0055206E"/>
    <w:rsid w:val="005E0A35"/>
    <w:rsid w:val="006177A5"/>
    <w:rsid w:val="00691840"/>
    <w:rsid w:val="006A205A"/>
    <w:rsid w:val="007002B7"/>
    <w:rsid w:val="00714E05"/>
    <w:rsid w:val="007921C7"/>
    <w:rsid w:val="007F7CDE"/>
    <w:rsid w:val="00891807"/>
    <w:rsid w:val="00912AB9"/>
    <w:rsid w:val="009501DF"/>
    <w:rsid w:val="0096335C"/>
    <w:rsid w:val="009D3F57"/>
    <w:rsid w:val="00A478B7"/>
    <w:rsid w:val="00AA1F65"/>
    <w:rsid w:val="00AA3F1C"/>
    <w:rsid w:val="00AA6E76"/>
    <w:rsid w:val="00AC2547"/>
    <w:rsid w:val="00B27A79"/>
    <w:rsid w:val="00BA3074"/>
    <w:rsid w:val="00BB04D1"/>
    <w:rsid w:val="00BF47E6"/>
    <w:rsid w:val="00C5149C"/>
    <w:rsid w:val="00CF57B5"/>
    <w:rsid w:val="00D65BAF"/>
    <w:rsid w:val="00D70D7D"/>
    <w:rsid w:val="00D948DE"/>
    <w:rsid w:val="00DB6832"/>
    <w:rsid w:val="00DD2F9C"/>
    <w:rsid w:val="00DF121A"/>
    <w:rsid w:val="00E6277E"/>
    <w:rsid w:val="00E650FE"/>
    <w:rsid w:val="00E73291"/>
    <w:rsid w:val="00EB2882"/>
    <w:rsid w:val="00F15B97"/>
    <w:rsid w:val="00F55D23"/>
    <w:rsid w:val="00F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5110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284C88"/>
    <w:pPr>
      <w:widowControl/>
      <w:numPr>
        <w:numId w:val="5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57B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A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0A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A35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732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291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732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291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hyperlink" Target="http://www.vwvj.be/index.php?page=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hyperlink" Target="http://www.vwvj.be/uploads/documentenbank/62bff0cd1db8bf79a4b5b2d90c20b49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wvj.be/uploads/documentenbank/0b87c19a583e7e52934ff88164dbd40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wvj.be/index.php?page=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b.ac.be/groeicurven/pubemodel.html" TargetMode="External"/><Relationship Id="rId14" Type="http://schemas.openxmlformats.org/officeDocument/2006/relationships/hyperlink" Target="http://www.vwvj.be/uploads/documentenbank/2e6b3e1eeb54b9f0f8168b33bf7f1d43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15</cp:revision>
  <cp:lastPrinted>2016-01-26T16:25:00Z</cp:lastPrinted>
  <dcterms:created xsi:type="dcterms:W3CDTF">2016-01-26T15:51:00Z</dcterms:created>
  <dcterms:modified xsi:type="dcterms:W3CDTF">2016-01-29T08:21:00Z</dcterms:modified>
</cp:coreProperties>
</file>